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/>
          <w:b/>
          <w:i w:val="0"/>
          <w:sz w:val="26"/>
        </w:rPr>
        <w:t>Planificare calendaristică anuală pentru clasa a VII-a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An școlar: </w:t>
      </w:r>
      <w:r>
        <w:rPr>
          <w:rFonts w:ascii="Times New Roman" w:hAnsi="Times New Roman" w:eastAsia="Times New Roman"/>
          <w:b w:val="0"/>
          <w:i w:val="0"/>
          <w:sz w:val="20"/>
        </w:rPr>
        <w:t>2026–2027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>Unitatea de învățământ: ________________________________________________</w:t>
      </w:r>
      <w:r>
        <w:rPr>
          <w:rFonts w:ascii="Times New Roman" w:hAnsi="Times New Roman" w:eastAsia="Times New Roman"/>
          <w:b w:val="0"/>
          <w:i w:val="0"/>
          <w:sz w:val="20"/>
        </w:rPr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Disciplina: </w:t>
      </w:r>
      <w:r>
        <w:rPr>
          <w:rFonts w:ascii="Times New Roman" w:hAnsi="Times New Roman" w:eastAsia="Times New Roman"/>
          <w:b w:val="0"/>
          <w:i w:val="0"/>
          <w:sz w:val="20"/>
        </w:rPr>
        <w:t>Religie – Cultul Creștin Penticostal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Clasa: </w:t>
      </w:r>
      <w:r>
        <w:rPr>
          <w:rFonts w:ascii="Times New Roman" w:hAnsi="Times New Roman" w:eastAsia="Times New Roman"/>
          <w:b w:val="0"/>
          <w:i w:val="0"/>
          <w:sz w:val="20"/>
        </w:rPr>
        <w:t>a VII-a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Nr. ore/săpt.: </w:t>
      </w:r>
      <w:r>
        <w:rPr>
          <w:rFonts w:ascii="Times New Roman" w:hAnsi="Times New Roman" w:eastAsia="Times New Roman"/>
          <w:b w:val="0"/>
          <w:i w:val="0"/>
          <w:sz w:val="20"/>
        </w:rPr>
        <w:t>1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Nr. total de ore/an: </w:t>
      </w:r>
      <w:r>
        <w:rPr>
          <w:rFonts w:ascii="Times New Roman" w:hAnsi="Times New Roman" w:eastAsia="Times New Roman"/>
          <w:b w:val="0"/>
          <w:i w:val="0"/>
          <w:sz w:val="20"/>
        </w:rPr>
        <w:t>36 ore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Programa școlară aprobată prin </w:t>
      </w:r>
      <w:r>
        <w:rPr>
          <w:rFonts w:ascii="Times New Roman" w:hAnsi="Times New Roman" w:eastAsia="Times New Roman"/>
          <w:b w:val="0"/>
          <w:i w:val="0"/>
          <w:sz w:val="20"/>
        </w:rPr>
        <w:t>OMEN nr. 3393/28.02.2017</w:t>
      </w:r>
    </w:p>
    <w:p>
      <w:pPr>
        <w:spacing w:before="0" w:after="30" w:line="240" w:lineRule="auto"/>
      </w:pPr>
      <w:r>
        <w:rPr>
          <w:rFonts w:ascii="Times New Roman" w:hAnsi="Times New Roman" w:eastAsia="Times New Roman"/>
          <w:b/>
          <w:sz w:val="20"/>
        </w:rPr>
        <w:t>Manual: Religie – Cultul Penticostal – cl. a VII-a; coordonator: Gheorghe Cătană; aprobat prin Ordinul de ministru nr. 5420/04.07.2024; Editura Didactică și Pedagogică, București.</w:t>
      </w:r>
      <w:r>
        <w:rPr>
          <w:rFonts w:ascii="Times New Roman" w:hAnsi="Times New Roman" w:eastAsia="Times New Roman"/>
          <w:sz w:val="20"/>
        </w:rPr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>Profesor: ________________________________________________</w:t>
      </w:r>
      <w:r>
        <w:rPr>
          <w:rFonts w:ascii="Times New Roman" w:hAnsi="Times New Roman" w:eastAsia="Times New Roman"/>
          <w:b w:val="0"/>
          <w:i w:val="0"/>
          <w:sz w:val="20"/>
        </w:rPr>
      </w:r>
    </w:p>
    <w:p>
      <w:pPr>
        <w:spacing w:before="40" w:after="60" w:line="240" w:lineRule="auto"/>
      </w:pPr>
      <w:r>
        <w:rPr>
          <w:rFonts w:ascii="Times New Roman" w:hAnsi="Times New Roman" w:eastAsia="Times New Roman"/>
          <w:sz w:val="20"/>
        </w:rPr>
        <w:t>Timp la dispoziția profesorului: 9 ore (repartizare operațională a cotei de 25%), prin diagnoză inițială și secvențe de remediere, consolidare, aprofundare, transfer și performanță.</w:t>
      </w:r>
    </w:p>
    <w:p>
      <w:pPr>
        <w:keepNext/>
        <w:spacing w:before="40" w:after="40"/>
      </w:pPr>
      <w:r>
        <w:rPr>
          <w:rFonts w:ascii="Times New Roman" w:hAnsi="Times New Roman" w:eastAsia="Times New Roman"/>
          <w:b/>
          <w:sz w:val="20"/>
        </w:rPr>
        <w:t>Distribuția anuală a timpului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87"/>
        <w:gridCol w:w="2948"/>
        <w:gridCol w:w="1757"/>
        <w:gridCol w:w="2041"/>
        <w:gridCol w:w="2154"/>
      </w:tblGrid>
      <w:tr>
        <w:trPr>
          <w:tblHeader w:val="true"/>
          <w:cantSplit/>
        </w:trPr>
        <w:tc>
          <w:tcPr>
            <w:tcW w:type="dxa" w:w="1587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Ore curriculare*</w:t>
            </w:r>
          </w:p>
        </w:tc>
        <w:tc>
          <w:tcPr>
            <w:tcW w:type="dxa" w:w="2948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Predare–învățare–evaluare</w:t>
            </w:r>
          </w:p>
        </w:tc>
        <w:tc>
          <w:tcPr>
            <w:tcW w:type="dxa" w:w="1757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TDP (≈25%)</w:t>
            </w:r>
          </w:p>
        </w:tc>
        <w:tc>
          <w:tcPr>
            <w:tcW w:type="dxa" w:w="2041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Școala Altfel</w:t>
            </w:r>
          </w:p>
        </w:tc>
        <w:tc>
          <w:tcPr>
            <w:tcW w:type="dxa" w:w="2154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Săptămâna Verde</w:t>
            </w:r>
          </w:p>
        </w:tc>
      </w:tr>
      <w:tr>
        <w:trPr>
          <w:cantSplit/>
        </w:trPr>
        <w:tc>
          <w:tcPr>
            <w:tcW w:type="dxa" w:w="1587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34</w:t>
            </w:r>
          </w:p>
        </w:tc>
        <w:tc>
          <w:tcPr>
            <w:tcW w:type="dxa" w:w="2948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25</w:t>
            </w:r>
          </w:p>
        </w:tc>
        <w:tc>
          <w:tcPr>
            <w:tcW w:type="dxa" w:w="1757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9</w:t>
            </w:r>
          </w:p>
        </w:tc>
        <w:tc>
          <w:tcPr>
            <w:tcW w:type="dxa" w:w="2041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 săpt.</w:t>
            </w:r>
          </w:p>
        </w:tc>
        <w:tc>
          <w:tcPr>
            <w:tcW w:type="dxa" w:w="2154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 săpt.</w:t>
            </w:r>
          </w:p>
        </w:tc>
      </w:tr>
    </w:tbl>
    <w:p>
      <w:pPr>
        <w:spacing w:before="20" w:after="60"/>
      </w:pPr>
      <w:r>
        <w:rPr>
          <w:rFonts w:ascii="Times New Roman" w:hAnsi="Times New Roman" w:eastAsia="Times New Roman"/>
          <w:i/>
          <w:sz w:val="20"/>
        </w:rPr>
        <w:t>* Orele curriculare exclud cele două săptămâni ale programelor naționale. TDP este distribuit prin orele inițiale și prin secvențe integrate în unitățile de învățare, marcate în „Observații”.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1360"/>
        <w:gridCol w:w="4082"/>
        <w:gridCol w:w="680"/>
        <w:gridCol w:w="1360"/>
        <w:gridCol w:w="1814"/>
      </w:tblGrid>
      <w:tr>
        <w:trPr>
          <w:tblHeader w:val="true"/>
          <w:cantSplit/>
        </w:trPr>
        <w:tc>
          <w:tcPr>
            <w:tcW w:type="dxa" w:w="1701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Unități de învățare</w:t>
            </w:r>
          </w:p>
        </w:tc>
        <w:tc>
          <w:tcPr>
            <w:tcW w:type="dxa" w:w="1360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Competențe specifice</w:t>
            </w:r>
          </w:p>
        </w:tc>
        <w:tc>
          <w:tcPr>
            <w:tcW w:type="dxa" w:w="4082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Conținuturi</w:t>
            </w:r>
          </w:p>
        </w:tc>
        <w:tc>
          <w:tcPr>
            <w:tcW w:type="dxa" w:w="680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Nr. ore</w:t>
            </w:r>
          </w:p>
        </w:tc>
        <w:tc>
          <w:tcPr>
            <w:tcW w:type="dxa" w:w="1360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Săptămâna</w:t>
            </w:r>
          </w:p>
        </w:tc>
        <w:tc>
          <w:tcPr>
            <w:tcW w:type="dxa" w:w="1814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Observații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E7E6E6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/>
                <w:sz w:val="20"/>
              </w:rPr>
              <w:t>Modulul I: 7 septembrie – 23 octombrie 2026 (7 săptămâni)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Timp la dispoziția profesorului – diagnoză inițială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Competențe specifice dezvoltate în clasa anterioară: 1.1; 1.2; 1.3; 2.1; 2.2; 3.1; 3.2; 3.3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Să ne amintim din clasa anterioară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Recapitularea selectivă a achizițiilor esențiale din clasa anterioară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S1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(07.09–11.09)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oră: activarea/consolidarea achizițiilor anterioare.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Timp la dispoziția profesorului – diagnoză inițială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Competențe specifice dezvoltate în clasa anterioară: 1.1; 1.2; 1.3; 2.1; 2.2; 3.1; 3.2; 3.3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Evaluare inițială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Analiza rezultatelor și stabilirea nevoilor de remediere / aprofundare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S2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(14.09–18.09)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oră: evaluare inițială și stabilirea măsurilor diferențiate.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Dumnezeu se face cunoscut omului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1.2; 2.1; 3.2;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Duhul Sfânt în Vechiul Testament (Duhul Sfânt la creațiune; înainte de potop; în viața unor bărbați ai Vechiului Testament)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Pogorârea Duhului Sfânt la Cincizecime (scopul trimiterii Duhului Sfânt în lume: confirmarea proorociilor, fondarea Bisericii, începutul unei noi ere; despre evenimentul pogorârii Duhului Sfânt peste apostoli; curajul mărturisirii lui Cristos)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Lucrarea Duhului Sfânt în Biserica Primară (pogorârea Duhului Sfânt la Cincizecime – actul de naștere al Bisericii; înmulțirea Bisericii; manifestarea darurilor în Biserica Primară)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5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S3–S7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(21.09–23.10)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aprofundare și transfer al achizițiilor.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Vacanță de toamnă: 24 octombrie – 1 noiembrie 2026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E7E6E6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/>
                <w:sz w:val="20"/>
              </w:rPr>
              <w:t>Modulul II: 2 noiembrie – 22 decembrie 2026 (8 săptămâni)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  <w:t>Programul „Școala Altfel” – S____ (interval stabilit de unitatea de învățământ)</w:t>
            </w:r>
            <w:r>
              <w:rPr>
                <w:rFonts w:ascii="Times New Roman" w:hAnsi="Times New Roman" w:eastAsia="Times New Roman"/>
                <w:b w:val="0"/>
                <w:sz w:val="20"/>
              </w:rPr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Dumnezeu se face cunoscut omului (continuare)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1.2; 2.1; 3.2;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Lucrarea Duhului Sfânt în viața omului (pocăința, nașterea din nou, botezul cu Duhul Sfânt; sfințirea)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Darurile Duhului Sfânt (enumerarea darurilor și definirea lor; clasificarea darurilor; actualitatea darurilor Duhului Sfânt)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Recapitulare / Evaluarea unității de învățare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5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S9–S13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(09.11–11.12)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remediere/consolidare și reglarea învățării.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Viața comunității și sărbătorile creștine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1.2; 1.3; 3.3.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Nașterea Domnului Isus (vestirea nașterii lui Isus Cristos, cântarea Mariei, nașterea lui Isus Cristos, păstorii din Betleem, Isus adus în Templu, cântarea lui Simeon)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Botezul Domnului (nașterea lui Ioan Botezătorul, propovăduirea lui Ioan Botezătorul, botezul lui Isus Cristos)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2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S14–S15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(14.12–22.12)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Predare–învățare–evaluare.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Vacanță de iarnă: 23 decembrie 2026 – 10 ianuarie 2027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E7E6E6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/>
                <w:sz w:val="20"/>
              </w:rPr>
              <w:t>Modulul III: 11 ianuarie – 12 februarie 2027 (5 săptămâni)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Iubirea lui Dumnezeu și răspunsul omului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1.2; 2.1; 2.2; 3.1;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Biserica primară (perioada de aur a Bisericii lui Dumnezeu; Biserica din Ierusalim – caracteristici: învățătura apostolilor, părtășie, Cina Domnului, rugăciuni, minuni, frecventarea adunărilor, laudă la adresa lui Dumnezeu)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Biserica în istorie (persecuțiile împotriva creștinilor: Ștefan și alți martiri, încetarea persecuțiilor și garanția libertăţii religioase în timpul lui Constantin cel Mare; răspândirea creştinismului în lume)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Biserica-adunarea celor credincioși; actele de cult (creştinul - membru al Bisericii, biserica locală, actele de cult: botezul în apă, cina Domnului)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Marile religii ale lumii (Iudaismul, Creștinismul, Islamismul, Budismul; descriere, răspândire)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Creștinismul la români (Apostolul Andrei; rolul creştinismului în formarea poporului român; creștinismul românesc în lumea de astăzi, continuitatea și mărturisirea creștinismului, vocația dialogului creștin în spațiul socio-cultural, confesiuni creştine în lume şi în România)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5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S16–S20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(11.01–12.02)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remediere/consolidare prin activități diferențiate.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Vacanța mobilă – interval stabilit la nivel județean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E7E6E6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/>
                <w:sz w:val="20"/>
              </w:rPr>
              <w:t>Modulul IV: 22 februarie – 23 aprilie 2027 (9 săptămâni)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Iubirea lui Dumnezeu și răspunsul omului (continuare)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1.2; 2.1; 2.2; 3.1;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Mișcarea penticostală din România (începuturile mișcării penticostale, evoluție, răspândire)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Recapitulare / Evaluarea unității de învățare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2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S21–S22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(22.02–05.03)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remediere/consolidare și reglarea învățării.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Viața comunității și sărbătorile creștine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1.2; 1.3; 3.3.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Învierea Domnului (Învierea lui Isus Cristos, Isus se arată ucenicilor, beneficiile Învierii)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Înălțarea Domnului (înălțarea lui Isus, promisiunea Duhului Sfânt, promisiunea revenirii)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Pogorârea Duhului Sfânt (pogorârea Duhului Sfânt, importanța pogorârii Duhului Sfânt)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Recapitulare / Evaluarea unității de învățare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4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S23–S26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(08.03–02.04)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remediere/consolidare și reglarea învățării.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Viața creștinului împreună cu semenii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1.3; 2.2; 3.2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Dragostea, bucuria, pacea (definiție, descrierea și importanța roadei)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2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S27–S28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(05.04–16.04)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Predare–învățare–evaluare.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  <w:t>Programul „Săptămâna Verde” – S____ (interval stabilit de unitatea de învățământ)</w:t>
            </w:r>
            <w:r>
              <w:rPr>
                <w:rFonts w:ascii="Times New Roman" w:hAnsi="Times New Roman" w:eastAsia="Times New Roman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Vacanță de primăvară: 24 aprilie – 4 mai 2027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E7E6E6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/>
                <w:sz w:val="20"/>
              </w:rPr>
              <w:t>Modulul V: 5 mai – 18 iunie 2027 (7 săptămâni)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Viața creștinului împreună cu semenii (continuare)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1.3; 2.2; 3.2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Îndelunga răbdare, bunătatea, facerea de bine (definiție, descrierea și importanța roadei)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Credincioșia, blândețea, înfrânarea poftelor (definiție, descrierea și importanța roadei)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Recapitulare / Evaluarea unității de învățare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5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S30–S34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(05.05–04.06)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remediere/consolidare și reglarea învățării.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Toate competențele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Recapitulare / Evaluare finală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2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S35–S36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(07.06–18.06)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remediere/consolidare și reglarea învățării.</w:t>
            </w:r>
          </w:p>
        </w:tc>
      </w:tr>
    </w:tbl>
    <w:p>
      <w:pPr>
        <w:keepNext/>
        <w:pageBreakBefore w:val="0"/>
        <w:spacing w:before="80" w:after="20"/>
      </w:pPr>
      <w:r>
        <w:rPr>
          <w:rFonts w:ascii="Times New Roman" w:hAnsi="Times New Roman" w:eastAsia="Times New Roman"/>
          <w:b/>
          <w:sz w:val="22"/>
        </w:rPr>
        <w:t>COMPETENȚE GENERALE</w:t>
      </w:r>
    </w:p>
    <w:p>
      <w:pPr>
        <w:keepNext/>
        <w:spacing w:before="0" w:after="0" w:line="240" w:lineRule="auto"/>
        <w:ind w:left="198" w:hanging="198"/>
      </w:pPr>
      <w:r>
        <w:rPr>
          <w:rFonts w:ascii="Times New Roman" w:hAnsi="Times New Roman" w:eastAsia="Times New Roman"/>
          <w:sz w:val="20"/>
        </w:rPr>
        <w:t>1. Utilizarea conceptelor specifice religiei proprii, în conexiune cu diferite manifestări ale credinței</w:t>
      </w:r>
    </w:p>
    <w:p>
      <w:pPr>
        <w:keepNext/>
        <w:spacing w:before="0" w:after="0" w:line="240" w:lineRule="auto"/>
        <w:ind w:left="198" w:hanging="198"/>
      </w:pPr>
      <w:r>
        <w:rPr>
          <w:rFonts w:ascii="Times New Roman" w:hAnsi="Times New Roman" w:eastAsia="Times New Roman"/>
          <w:sz w:val="20"/>
        </w:rPr>
        <w:t>2. Manifestarea unui comportament moral, în viața personală și în societate, în acord cu valorile religioase</w:t>
      </w:r>
    </w:p>
    <w:p>
      <w:pPr>
        <w:keepNext w:val="0"/>
        <w:spacing w:before="0" w:after="0" w:line="240" w:lineRule="auto"/>
        <w:ind w:left="198" w:hanging="198"/>
      </w:pPr>
      <w:r>
        <w:rPr>
          <w:rFonts w:ascii="Times New Roman" w:hAnsi="Times New Roman" w:eastAsia="Times New Roman"/>
          <w:sz w:val="20"/>
        </w:rPr>
        <w:t>3. Raportarea experiențelor din viața de zi cu zi la principiile religioase, cu respectarea identității și diversității religioase</w:t>
      </w:r>
    </w:p>
    <w:p>
      <w:pPr>
        <w:keepNext/>
        <w:spacing w:before="80" w:after="40"/>
      </w:pPr>
      <w:r>
        <w:rPr>
          <w:rFonts w:ascii="Times New Roman" w:hAnsi="Times New Roman" w:eastAsia="Times New Roman"/>
          <w:b/>
          <w:sz w:val="22"/>
        </w:rPr>
        <w:t>COMPETENȚE SPECIFICE – clasa a VII-a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9355"/>
      </w:tblGrid>
      <w:tr>
        <w:trPr>
          <w:tblHeader w:val="true"/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Cod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Competența specifică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1.1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Analizarea manifestării lucrării Duhului Sfânt în viața Bisericii și în devenirea spirituală a omului, pe baza unor texte religioase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1.2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Compararea unor modalități diverse de manifestare a vieții religioase sau a unor aspecte de învățătură religioasă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1.3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Analizarea unui mesaj moral-religios, comunicat în forme variate (literatură, artă)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2.1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Identificarea de repere și modele dezirabile din punct de vedere religios, în plan personal și social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2.2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Formularea unor opinii personale privind aplicarea normelor moral-religioase în viața personală și a grupurilor de apartenență, în relație cu normele civice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3.1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Argumentarea importanței respectului pentru diversitate și a comunicării între persoane/grupuri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3.2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Manifestarea reflecției critice față de responsabilități asumate în viața proprie și a comunității, prin raportarea la valori moral-religioase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3.3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Argumentarea importanței participării fiecărei persoane la viața spirituală a comunității, ca membru activ al acesteia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 w:eastAsia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20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20"/>
      <w:szCs w:val="20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20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20"/>
      <w:szCs w:val="20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