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/>
          <w:b/>
          <w:i w:val="0"/>
          <w:sz w:val="26"/>
        </w:rPr>
        <w:t>Planificare calendaristică anuală pentru clasa a XI-a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An școlar: </w:t>
      </w:r>
      <w:r>
        <w:rPr>
          <w:rFonts w:ascii="Times New Roman" w:hAnsi="Times New Roman" w:eastAsia="Times New Roman"/>
          <w:b w:val="0"/>
          <w:i w:val="0"/>
          <w:sz w:val="20"/>
        </w:rPr>
        <w:t>2026–2027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>Unitatea de învățământ: ________________________________________________</w:t>
      </w:r>
      <w:r>
        <w:rPr>
          <w:rFonts w:ascii="Times New Roman" w:hAnsi="Times New Roman" w:eastAsia="Times New Roman"/>
          <w:b w:val="0"/>
          <w:i w:val="0"/>
          <w:sz w:val="20"/>
        </w:rPr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Disciplina: </w:t>
      </w:r>
      <w:r>
        <w:rPr>
          <w:rFonts w:ascii="Times New Roman" w:hAnsi="Times New Roman" w:eastAsia="Times New Roman"/>
          <w:b w:val="0"/>
          <w:i w:val="0"/>
          <w:sz w:val="20"/>
        </w:rPr>
        <w:t>Religie – Cultul Creștin Penticostal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Clasa: </w:t>
      </w:r>
      <w:r>
        <w:rPr>
          <w:rFonts w:ascii="Times New Roman" w:hAnsi="Times New Roman" w:eastAsia="Times New Roman"/>
          <w:b w:val="0"/>
          <w:i w:val="0"/>
          <w:sz w:val="20"/>
        </w:rPr>
        <w:t>a XI-a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Nr. ore/săpt.: </w:t>
      </w:r>
      <w:r>
        <w:rPr>
          <w:rFonts w:ascii="Times New Roman" w:hAnsi="Times New Roman" w:eastAsia="Times New Roman"/>
          <w:b w:val="0"/>
          <w:i w:val="0"/>
          <w:sz w:val="20"/>
        </w:rPr>
        <w:t>1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Nr. total de ore/an: </w:t>
      </w:r>
      <w:r>
        <w:rPr>
          <w:rFonts w:ascii="Times New Roman" w:hAnsi="Times New Roman" w:eastAsia="Times New Roman"/>
          <w:b w:val="0"/>
          <w:i w:val="0"/>
          <w:sz w:val="20"/>
        </w:rPr>
        <w:t>36 ore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Programa școlară aprobată prin </w:t>
      </w:r>
      <w:r>
        <w:rPr>
          <w:rFonts w:ascii="Times New Roman" w:hAnsi="Times New Roman" w:eastAsia="Times New Roman"/>
          <w:b w:val="0"/>
          <w:i w:val="0"/>
          <w:sz w:val="20"/>
        </w:rPr>
        <w:t>OMEN nr. 5230/01.09.2008</w:t>
      </w:r>
    </w:p>
    <w:p>
      <w:pPr>
        <w:spacing w:before="0" w:after="30" w:line="240" w:lineRule="auto"/>
      </w:pPr>
      <w:r>
        <w:rPr>
          <w:rFonts w:ascii="Times New Roman" w:hAnsi="Times New Roman" w:eastAsia="Times New Roman"/>
          <w:b/>
          <w:sz w:val="20"/>
        </w:rPr>
        <w:t xml:space="preserve">Manual: </w:t>
      </w:r>
      <w:r>
        <w:rPr>
          <w:rFonts w:ascii="Times New Roman" w:hAnsi="Times New Roman" w:eastAsia="Times New Roman"/>
          <w:sz w:val="20"/>
        </w:rPr>
        <w:t>—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>Profesor: ________________________________________________</w:t>
      </w:r>
      <w:r>
        <w:rPr>
          <w:rFonts w:ascii="Times New Roman" w:hAnsi="Times New Roman" w:eastAsia="Times New Roman"/>
          <w:b w:val="0"/>
          <w:i w:val="0"/>
          <w:sz w:val="20"/>
        </w:rPr>
      </w:r>
    </w:p>
    <w:p>
      <w:pPr>
        <w:spacing w:before="40" w:after="60" w:line="240" w:lineRule="auto"/>
      </w:pPr>
      <w:r>
        <w:rPr>
          <w:rFonts w:ascii="Times New Roman" w:hAnsi="Times New Roman" w:eastAsia="Times New Roman"/>
          <w:sz w:val="20"/>
        </w:rPr>
        <w:t>Timp la dispoziția profesorului: 9 ore (repartizare operațională a cotei de 25%), prin diagnoză inițială și secvențe de remediere, consolidare, aprofundare, transfer și performanță.</w:t>
      </w:r>
    </w:p>
    <w:p>
      <w:pPr>
        <w:keepNext/>
        <w:spacing w:before="40" w:after="40"/>
      </w:pPr>
      <w:r>
        <w:rPr>
          <w:rFonts w:ascii="Times New Roman" w:hAnsi="Times New Roman" w:eastAsia="Times New Roman"/>
          <w:b/>
          <w:sz w:val="20"/>
        </w:rPr>
        <w:t>Distribuția anuală a timpului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87"/>
        <w:gridCol w:w="2948"/>
        <w:gridCol w:w="1757"/>
        <w:gridCol w:w="2041"/>
        <w:gridCol w:w="2154"/>
      </w:tblGrid>
      <w:tr>
        <w:trPr>
          <w:tblHeader w:val="true"/>
          <w:cantSplit/>
        </w:trPr>
        <w:tc>
          <w:tcPr>
            <w:tcW w:type="dxa" w:w="1587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Ore curriculare*</w:t>
            </w:r>
          </w:p>
        </w:tc>
        <w:tc>
          <w:tcPr>
            <w:tcW w:type="dxa" w:w="2948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Predare–învățare–evaluare</w:t>
            </w:r>
          </w:p>
        </w:tc>
        <w:tc>
          <w:tcPr>
            <w:tcW w:type="dxa" w:w="1757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TDP (≈25%)</w:t>
            </w:r>
          </w:p>
        </w:tc>
        <w:tc>
          <w:tcPr>
            <w:tcW w:type="dxa" w:w="2041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Școala Altfel</w:t>
            </w:r>
          </w:p>
        </w:tc>
        <w:tc>
          <w:tcPr>
            <w:tcW w:type="dxa" w:w="2154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Săptămâna Verde</w:t>
            </w:r>
          </w:p>
        </w:tc>
      </w:tr>
      <w:tr>
        <w:trPr>
          <w:cantSplit/>
        </w:trPr>
        <w:tc>
          <w:tcPr>
            <w:tcW w:type="dxa" w:w="1587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34</w:t>
            </w:r>
          </w:p>
        </w:tc>
        <w:tc>
          <w:tcPr>
            <w:tcW w:type="dxa" w:w="2948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25</w:t>
            </w:r>
          </w:p>
        </w:tc>
        <w:tc>
          <w:tcPr>
            <w:tcW w:type="dxa" w:w="1757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9</w:t>
            </w:r>
          </w:p>
        </w:tc>
        <w:tc>
          <w:tcPr>
            <w:tcW w:type="dxa" w:w="2041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 săpt.</w:t>
            </w:r>
          </w:p>
        </w:tc>
        <w:tc>
          <w:tcPr>
            <w:tcW w:type="dxa" w:w="2154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 săpt.</w:t>
            </w:r>
          </w:p>
        </w:tc>
      </w:tr>
    </w:tbl>
    <w:p>
      <w:pPr>
        <w:spacing w:before="20" w:after="60"/>
      </w:pPr>
      <w:r>
        <w:rPr>
          <w:rFonts w:ascii="Times New Roman" w:hAnsi="Times New Roman" w:eastAsia="Times New Roman"/>
          <w:i/>
          <w:sz w:val="20"/>
        </w:rPr>
        <w:t>* Orele curriculare exclud cele două săptămâni ale programelor naționale. TDP este distribuit prin orele inițiale și prin secvențe integrate în unitățile de învățare, marcate în „Observații”.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1360"/>
        <w:gridCol w:w="4082"/>
        <w:gridCol w:w="680"/>
        <w:gridCol w:w="1360"/>
        <w:gridCol w:w="1814"/>
      </w:tblGrid>
      <w:tr>
        <w:trPr>
          <w:tblHeader w:val="true"/>
          <w:cantSplit/>
        </w:trPr>
        <w:tc>
          <w:tcPr>
            <w:tcW w:type="dxa" w:w="1701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Unități de învățare</w:t>
            </w:r>
          </w:p>
        </w:tc>
        <w:tc>
          <w:tcPr>
            <w:tcW w:type="dxa" w:w="1360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Competențe specifice</w:t>
            </w:r>
          </w:p>
        </w:tc>
        <w:tc>
          <w:tcPr>
            <w:tcW w:type="dxa" w:w="4082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Conținuturi</w:t>
            </w:r>
          </w:p>
        </w:tc>
        <w:tc>
          <w:tcPr>
            <w:tcW w:type="dxa" w:w="680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Nr. ore</w:t>
            </w:r>
          </w:p>
        </w:tc>
        <w:tc>
          <w:tcPr>
            <w:tcW w:type="dxa" w:w="1360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Săptămâna</w:t>
            </w:r>
          </w:p>
        </w:tc>
        <w:tc>
          <w:tcPr>
            <w:tcW w:type="dxa" w:w="1814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Observații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I: 7 septembrie – 23 octombrie 2026 (7 săptămâni)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Timp la dispoziția profesorului – diagnoză inițială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Competențe specifice dezvoltate în clasa anterioară: 1.1; 1.2; 2.1; 2.2; 3.1; 3.2; 3.3; 4.1; 4.2; 5.1; 5.2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Să ne amintim din clasa anterioară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Recapitularea selectivă a achizițiilor esențiale din clasa anterioară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S1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(07.09–11.09)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oră: activarea/consolidarea achizițiilor anterioare.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Timp la dispoziția profesorului – diagnoză inițială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Competențe specifice dezvoltate în clasa anterioară: 1.1; 1.2; 2.1; 2.2; 3.1; 3.2; 3.3; 4.1; 4.2; 5.1; 5.2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Evaluare inițială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Analiza rezultatelor și stabilirea nevoilor de remediere / aprofundare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S2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(14.09–18.09)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oră: evaluare inițială și stabilirea măsurilor diferențiate.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Învățături de credință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1.1;1.2; 2.1; 2.2; 5.1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Credibilitatea Bibliei – argumentare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Infailibilitatea Bibliei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Argumente în favoarea existenței lui Dumnezeu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Prezența lui Dumnezeu în istorie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5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S3–S7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(21.09–23.10)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aprofundare și transfer al achizițiilor.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Vacanță de toamnă: 24 octombrie – 1 noiembrie 2026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II: 2 noiembrie – 22 decembrie 2026 (8 săptămâni)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  <w:t>Programul „Școala Altfel” – S____ (interval stabilit de unitatea de învățământ)</w:t>
            </w:r>
            <w:r>
              <w:rPr>
                <w:rFonts w:ascii="Times New Roman" w:hAnsi="Times New Roman" w:eastAsia="Times New Roman"/>
                <w:b w:val="0"/>
                <w:sz w:val="20"/>
              </w:rPr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Învățături de credință (continuare)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1.1;1.2; 2.1; 2.2; 5.1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Duhul Sfânt în viața credinciosului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Comunicarea cu Dumnezeu - viața de rugăciune a credinciosului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Evaluarea unității de învățare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3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S9–S11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(09.11–27.11)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Predare–învățare–evaluare.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Morala creștină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3.1; 3.2; 4.1; 4.2; 4.3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Formarea caracterului creștin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Calea spre maturitatea spirituală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2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S12–S13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(30.11–11.12)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prin activități diferențiate.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Sărbători creștine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1.2; 2.1; 2.2; 3.1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Nașterea Domnului Isus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Botezul Domnului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2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S14–S15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(14.12–22.12)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aprofundare/transfer prin activitate tematică.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Vacanță de iarnă: 23 decembrie 2026 – 10 ianuarie 2027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III: 11 ianuarie – 12 februarie 2027 (5 săptămâni)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Morala creștină (continuare)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3.1; 3.2; 4.1; 4.2; 4.3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Valoarea integrității în relațiile dintre tineri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Regula de aur a Scripturii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Respectul față de creație și semeni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Iubirea adevărată și cea falsă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5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S16–S20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(11.01–12.02)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aprofundare și transfer al achizițiilor.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Vacanța mobilă – interval stabilit la nivel județean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IV: 22 februarie – 23 aprilie 2027 (9 săptămâni)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Morala creștină (continuare)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3.1; 3.2; 4.1; 4.2; 4.3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Acceptarea. Încurajarea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Evaluarea unității de învățare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2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S21–S22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(22.02–05.03)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Predare–învățare–evaluare.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Spiritualitate și misiune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3.1; 3.2; 4.1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Discipline spirituale (rugăciunea, postul, meditația biblică)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Definirea misiunii. Motivație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2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S23–S24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(08.03–19.03)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extindere/performanță, în funcție de progresul clasei.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Sărbători creștine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2.1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Învierea şi înălțarea la cer a Domnului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Rusaliile – înființarea Bisericii Creștine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Evaluarea unității de învățare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4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S25–S28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(22.03–16.04)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Predare–învățare–evaluare.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  <w:t>Programul „Săptămâna Verde” – S____ (interval stabilit de unitatea de învățământ)</w:t>
            </w:r>
            <w:r>
              <w:rPr>
                <w:rFonts w:ascii="Times New Roman" w:hAnsi="Times New Roman" w:eastAsia="Times New Roman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Vacanță de primăvară: 24 aprilie – 4 mai 2027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V: 5 mai – 18 iunie 2027 (7 săptămâni)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Spiritualitate și misiune (continuare)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3.1; 3.2; 4.1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Principiile misiunii. Misiunea creștinului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Evaluarea unității de învățare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2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S30–S31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(05.05–14.05)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și reglarea învățării.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Religiile în istorie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1.3; 4.3; 5.1; 5.2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Marile religii ale lumii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Biserica de-a lungul secolelor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Mișcarea evanghelică din România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Evaluarea unității de învățare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4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S32–S35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(17.05–11.06)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și reglarea învățării.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Toate competențele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 finală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S36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(14.06–18.06)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Predare–învățare–evaluare.</w:t>
            </w:r>
          </w:p>
        </w:tc>
      </w:tr>
    </w:tbl>
    <w:p>
      <w:pPr>
        <w:keepNext/>
        <w:pageBreakBefore w:val="0"/>
        <w:spacing w:before="80" w:after="20"/>
      </w:pPr>
      <w:r>
        <w:rPr>
          <w:rFonts w:ascii="Times New Roman" w:hAnsi="Times New Roman" w:eastAsia="Times New Roman"/>
          <w:b/>
          <w:sz w:val="22"/>
        </w:rPr>
        <w:t>COMPETENȚE GENERALE</w:t>
      </w:r>
    </w:p>
    <w:p>
      <w:pPr>
        <w:keepNext/>
        <w:spacing w:before="0" w:after="0" w:line="240" w:lineRule="auto"/>
        <w:ind w:left="198" w:hanging="198"/>
      </w:pPr>
      <w:r>
        <w:rPr>
          <w:rFonts w:ascii="Times New Roman" w:hAnsi="Times New Roman" w:eastAsia="Times New Roman"/>
          <w:sz w:val="20"/>
        </w:rPr>
        <w:t>1. Definirea specificului propriei credințe, în raport cu alte credințe și convingeri</w:t>
      </w:r>
    </w:p>
    <w:p>
      <w:pPr>
        <w:keepNext/>
        <w:spacing w:before="0" w:after="0" w:line="240" w:lineRule="auto"/>
        <w:ind w:left="198" w:hanging="198"/>
      </w:pPr>
      <w:r>
        <w:rPr>
          <w:rFonts w:ascii="Times New Roman" w:hAnsi="Times New Roman" w:eastAsia="Times New Roman"/>
          <w:sz w:val="20"/>
        </w:rPr>
        <w:t>2. Utilizarea adecvată a conceptelor specifice religiei, în diferite contexte de comunicare</w:t>
      </w:r>
    </w:p>
    <w:p>
      <w:pPr>
        <w:keepNext/>
        <w:spacing w:before="0" w:after="0" w:line="240" w:lineRule="auto"/>
        <w:ind w:left="198" w:hanging="198"/>
      </w:pPr>
      <w:r>
        <w:rPr>
          <w:rFonts w:ascii="Times New Roman" w:hAnsi="Times New Roman" w:eastAsia="Times New Roman"/>
          <w:sz w:val="20"/>
        </w:rPr>
        <w:t>3. Integrarea valorilor și a cunoștințelor religioase în structura propriilor atitudini și comportamente</w:t>
      </w:r>
    </w:p>
    <w:p>
      <w:pPr>
        <w:keepNext/>
        <w:spacing w:before="0" w:after="0" w:line="240" w:lineRule="auto"/>
        <w:ind w:left="198" w:hanging="198"/>
      </w:pPr>
      <w:r>
        <w:rPr>
          <w:rFonts w:ascii="Times New Roman" w:hAnsi="Times New Roman" w:eastAsia="Times New Roman"/>
          <w:sz w:val="20"/>
        </w:rPr>
        <w:t>4. Aplicarea învățăturii de credință în viața personală și a comunității</w:t>
      </w:r>
    </w:p>
    <w:p>
      <w:pPr>
        <w:keepNext w:val="0"/>
        <w:spacing w:before="0" w:after="0" w:line="240" w:lineRule="auto"/>
        <w:ind w:left="198" w:hanging="198"/>
      </w:pPr>
      <w:r>
        <w:rPr>
          <w:rFonts w:ascii="Times New Roman" w:hAnsi="Times New Roman" w:eastAsia="Times New Roman"/>
          <w:sz w:val="20"/>
        </w:rPr>
        <w:t>5. Corelarea cunoștințelor religioase cu cele dobândite la alte discipline de învățământ</w:t>
      </w:r>
    </w:p>
    <w:p>
      <w:pPr>
        <w:keepNext/>
        <w:spacing w:before="80" w:after="40"/>
      </w:pPr>
      <w:r>
        <w:rPr>
          <w:rFonts w:ascii="Times New Roman" w:hAnsi="Times New Roman" w:eastAsia="Times New Roman"/>
          <w:b/>
          <w:sz w:val="22"/>
        </w:rPr>
        <w:t>COMPETENȚE SPECIFICE – clasa a XI-a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9355"/>
      </w:tblGrid>
      <w:tr>
        <w:trPr>
          <w:tblHeader w:val="true"/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Cod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Competența specifică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1.1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Sintetizarea principalelor învățături de credință despre Dumnezeu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1.2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Elaborarea de argumente privind diferite aspecte de dogmatică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1.3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Analizarea elementelor specifice mișcării evanghelice, în contextul religiilor lumii și în cel al creștinismului românesc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2.1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Elaborarea de argumentări orale sau scrise referitoare la învățătura de credință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2.2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Compararea unor opinii și argumente diferite referitoare la o temă de religie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3.1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Definirea caracterului moral, construit pe valorile moralei creștine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3.2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Analizarea relațiilor interumane în diferite contexte (între tineri, în familie etc.), din perspectiva moralei creștine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4.1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Identificarea modalităților de aplicare a valorilor moralei creștine în viața cotidiană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4.2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Analizarea unor probleme specifice adolescenților și a modalităților de rezolvare a acestora, pornind de la valorile moralei creștine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4.3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Elaborarea de argumente pe tema actualității valorilor creștine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5.1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Realizarea de comparații între poziția moralei creștine și cea a altor discipline de învățământ cu privire la diferite aspecte ale vieții contemporane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5.2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Utilizarea cunoștințelor de istorie a religiilor pentru susținerea importanței respectului și a dialogului între oameni, comunități, Biserici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 w:eastAsia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20"/>
      <w:szCs w:val="20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20"/>
      <w:szCs w:val="20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