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/>
          <w:b/>
          <w:i w:val="0"/>
          <w:sz w:val="26"/>
        </w:rPr>
        <w:t>Planificare calendaristică anuală pentru clasa a X-a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An școlar: </w:t>
      </w:r>
      <w:r>
        <w:rPr>
          <w:rFonts w:ascii="Times New Roman" w:hAnsi="Times New Roman" w:eastAsia="Times New Roman"/>
          <w:b w:val="0"/>
          <w:i w:val="0"/>
          <w:sz w:val="20"/>
        </w:rPr>
        <w:t>2026–2027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Unitatea de învățământ: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Disciplina: </w:t>
      </w:r>
      <w:r>
        <w:rPr>
          <w:rFonts w:ascii="Times New Roman" w:hAnsi="Times New Roman" w:eastAsia="Times New Roman"/>
          <w:b w:val="0"/>
          <w:i w:val="0"/>
          <w:sz w:val="20"/>
        </w:rPr>
        <w:t>Religie – Cultul Creștin Penticostal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Clasa: </w:t>
      </w:r>
      <w:r>
        <w:rPr>
          <w:rFonts w:ascii="Times New Roman" w:hAnsi="Times New Roman" w:eastAsia="Times New Roman"/>
          <w:b w:val="0"/>
          <w:i w:val="0"/>
          <w:sz w:val="20"/>
        </w:rPr>
        <w:t>a X-a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ore/săpt.: </w:t>
      </w:r>
      <w:r>
        <w:rPr>
          <w:rFonts w:ascii="Times New Roman" w:hAnsi="Times New Roman" w:eastAsia="Times New Roman"/>
          <w:b w:val="0"/>
          <w:i w:val="0"/>
          <w:sz w:val="20"/>
        </w:rPr>
        <w:t>1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Nr. total de ore/an: </w:t>
      </w:r>
      <w:r>
        <w:rPr>
          <w:rFonts w:ascii="Times New Roman" w:hAnsi="Times New Roman" w:eastAsia="Times New Roman"/>
          <w:b w:val="0"/>
          <w:i w:val="0"/>
          <w:sz w:val="20"/>
        </w:rPr>
        <w:t>36 ore</w:t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 xml:space="preserve">Programa școlară aprobată prin </w:t>
      </w:r>
      <w:r>
        <w:rPr>
          <w:rFonts w:ascii="Times New Roman" w:hAnsi="Times New Roman" w:eastAsia="Times New Roman"/>
          <w:b w:val="0"/>
          <w:i w:val="0"/>
          <w:sz w:val="20"/>
        </w:rPr>
        <w:t>OMEN nr. 5230/01.09.2008</w:t>
      </w:r>
    </w:p>
    <w:p>
      <w:pPr>
        <w:spacing w:before="0" w:after="30" w:line="240" w:lineRule="auto"/>
      </w:pPr>
      <w:r>
        <w:rPr>
          <w:rFonts w:ascii="Times New Roman" w:hAnsi="Times New Roman" w:eastAsia="Times New Roman"/>
          <w:b/>
          <w:sz w:val="20"/>
        </w:rPr>
        <w:t>Manual: Religie – Alianța Evanghelică – cl. a X-a; coordonator: Gheorghe Cătană; aprobat prin OMEC nr. 4598/31.08.2004; Editura Dalia, Timișoara.</w:t>
      </w:r>
      <w:r>
        <w:rPr>
          <w:rFonts w:ascii="Times New Roman" w:hAnsi="Times New Roman" w:eastAsia="Times New Roman"/>
          <w:sz w:val="20"/>
        </w:rPr>
      </w:r>
    </w:p>
    <w:p>
      <w:pPr>
        <w:spacing w:before="0" w:after="0" w:line="240" w:lineRule="auto"/>
      </w:pPr>
      <w:r>
        <w:rPr>
          <w:rFonts w:ascii="Times New Roman" w:hAnsi="Times New Roman" w:eastAsia="Times New Roman"/>
          <w:b/>
          <w:i w:val="0"/>
          <w:sz w:val="20"/>
        </w:rPr>
        <w:t>Profesor: ________________________________________________</w:t>
      </w:r>
      <w:r>
        <w:rPr>
          <w:rFonts w:ascii="Times New Roman" w:hAnsi="Times New Roman" w:eastAsia="Times New Roman"/>
          <w:b w:val="0"/>
          <w:i w:val="0"/>
          <w:sz w:val="20"/>
        </w:rPr>
      </w:r>
    </w:p>
    <w:p>
      <w:pPr>
        <w:spacing w:before="40" w:after="60" w:line="240" w:lineRule="auto"/>
      </w:pPr>
      <w:r>
        <w:rPr>
          <w:rFonts w:ascii="Times New Roman" w:hAnsi="Times New Roman" w:eastAsia="Times New Roman"/>
          <w:sz w:val="20"/>
        </w:rPr>
        <w:t>Timp la dispoziția profesorului: 9 ore (repartizare operațională a cotei de 25%), prin diagnoză inițială și secvențe de remediere, consolidare, aprofundare, transfer și performanță.</w:t>
      </w:r>
    </w:p>
    <w:p>
      <w:pPr>
        <w:keepNext/>
        <w:spacing w:before="40" w:after="40"/>
      </w:pPr>
      <w:r>
        <w:rPr>
          <w:rFonts w:ascii="Times New Roman" w:hAnsi="Times New Roman" w:eastAsia="Times New Roman"/>
          <w:b/>
          <w:sz w:val="20"/>
        </w:rPr>
        <w:t>Distribuția anuală a timpului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948"/>
        <w:gridCol w:w="1757"/>
        <w:gridCol w:w="2041"/>
        <w:gridCol w:w="2154"/>
      </w:tblGrid>
      <w:tr>
        <w:trPr>
          <w:tblHeader w:val="true"/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Ore curriculare*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Predare–învățare–evaluare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TDP (≈25%)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Școala Altfel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Săptămâna Verde</w:t>
            </w:r>
          </w:p>
        </w:tc>
      </w:tr>
      <w:tr>
        <w:trPr>
          <w:cantSplit/>
        </w:trPr>
        <w:tc>
          <w:tcPr>
            <w:tcW w:type="dxa" w:w="158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34</w:t>
            </w:r>
          </w:p>
        </w:tc>
        <w:tc>
          <w:tcPr>
            <w:tcW w:type="dxa" w:w="2948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25</w:t>
            </w:r>
          </w:p>
        </w:tc>
        <w:tc>
          <w:tcPr>
            <w:tcW w:type="dxa" w:w="1757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</w:t>
            </w:r>
          </w:p>
        </w:tc>
        <w:tc>
          <w:tcPr>
            <w:tcW w:type="dxa" w:w="2041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  <w:tc>
          <w:tcPr>
            <w:tcW w:type="dxa" w:w="2154"/>
            <w:tcMar>
              <w:top w:w="15" w:type="dxa"/>
              <w:start w:w="35" w:type="dxa"/>
              <w:bottom w:w="15" w:type="dxa"/>
              <w:end w:w="35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 săpt.</w:t>
            </w:r>
          </w:p>
        </w:tc>
      </w:tr>
    </w:tbl>
    <w:p>
      <w:pPr>
        <w:spacing w:before="20" w:after="60"/>
      </w:pPr>
      <w:r>
        <w:rPr>
          <w:rFonts w:ascii="Times New Roman" w:hAnsi="Times New Roman" w:eastAsia="Times New Roman"/>
          <w:i/>
          <w:sz w:val="20"/>
        </w:rPr>
        <w:t>* Orele curriculare exclud cele două săptămâni ale programelor naționale. TDP este distribuit prin orele inițiale și prin secvențe integrate în unitățile de învățare, marcate în „Observații”.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01"/>
        <w:gridCol w:w="1360"/>
        <w:gridCol w:w="4082"/>
        <w:gridCol w:w="680"/>
        <w:gridCol w:w="1360"/>
        <w:gridCol w:w="1814"/>
      </w:tblGrid>
      <w:tr>
        <w:trPr>
          <w:tblHeader w:val="true"/>
          <w:cantSplit/>
        </w:trPr>
        <w:tc>
          <w:tcPr>
            <w:tcW w:type="dxa" w:w="1701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Unități de învățare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Competențe specifice</w:t>
            </w:r>
          </w:p>
        </w:tc>
        <w:tc>
          <w:tcPr>
            <w:tcW w:type="dxa" w:w="4082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Conținuturi</w:t>
            </w:r>
          </w:p>
        </w:tc>
        <w:tc>
          <w:tcPr>
            <w:tcW w:type="dxa" w:w="68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Nr. ore</w:t>
            </w:r>
          </w:p>
        </w:tc>
        <w:tc>
          <w:tcPr>
            <w:tcW w:type="dxa" w:w="1360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Săptămâna</w:t>
            </w:r>
          </w:p>
        </w:tc>
        <w:tc>
          <w:tcPr>
            <w:tcW w:type="dxa" w:w="1814"/>
            <w:shd w:fill="D9D9D9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0"/>
              </w:rPr>
              <w:t>Observații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I: 7 septembrie – 23 octombrie 2026 (7 săptămâni)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2.1; 2.2; 3.1; 3.2; 4.1; 4.2; 4.3;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 ne amintim din clasa anterioară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Recapitularea selectivă a achizițiilor esențiale din clasa anterioară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(07.09–11.09)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activarea/consolidarea achizițiilor anterioare.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Timp la dispoziția profesorului – diagnoză inițială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Competențe specifice dezvoltate în clasa anterioară: 1.1; 1.2; 2.1; 2.2; 3.1; 3.2; 4.1; 4.2; 4.3;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 inițială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 rezultatelor și stabilirea nevoilor de remediere / aprofundare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(14.09–18.09)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oră: evaluare inițială și stabilirea măsurilor diferențiate.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Muzica bisericească și mesajul ei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Scurt istoric al muzicii în Vechiul Testament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Exemple de cântări: Moise, Ana, Psalmul 137, fiii lui Asaf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S3–S7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(21.09–23.10)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 și transfer al achizițiilor.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toamnă: 24 octombrie – 1 noiembrie 2026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II: 2 noiembrie – 22 decembrie 2026 (8 săptămâni)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„Școala Altfel”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Muzica bisericească și mesajul ei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5.2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Scurt istoric al muzicii în Noul Testament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Cântări din Noul Testament: Maria, Simeon, Zaharia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Cântarea duhovnicească (Coloseni 3:16)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Ființa umană creată pentru a-L lăuda pe Dumnezeu; lauda – opțiune sau imperativ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S9–S12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(09.11–04.12)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1.2; 2.1; 2.2; 3.1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Nașterea Domnului Isus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Botezul Domnului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S13–S15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(07.12–22.12)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aprofundare/transfer prin activitate tematică.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iarnă: 23 decembrie 2026 – 10 ianuarie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III: 11 ianuarie – 12 februarie 2027 (5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Problemele adolescenților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3.3;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Problemele adolescenților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Conformismul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Integrarea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Nevoia de modele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Pericole pentru adolescenți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S16–S20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(11.01–12.02)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Predare–învățare–evaluare.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Vacanța mobilă – interval stabilit la nivel județean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IV: 22 februarie – 23 aprilie 2027 (9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Problemele adolescenților (continuare)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3.1; 3.2; 3.3; 4.2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Răzvrătirea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Aspectul fizic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Anturajul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Evaluarea grupului de tineri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S21–S24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(22.02–19.03)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Sărbători creștine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1.1; 2.1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Învierea și Înălțarea la cer a Domnului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Rusaliile – înființarea Bisericii creștine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S25–S28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(22.03–16.04)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  <w:t>Programul „Săptămâna Verde” – S____ (interval stabilit de unitatea de învățământ)</w:t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F2F2F2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Vacanță de primăvară: 24 aprilie – 4 mai 2027</w:t>
            </w:r>
          </w:p>
        </w:tc>
      </w:tr>
      <w:tr>
        <w:trPr>
          <w:cantSplit/>
        </w:trPr>
        <w:tc>
          <w:tcPr>
            <w:tcW w:type="dxa" w:w="1814"/>
            <w:gridSpan w:val="6"/>
            <w:shd w:fill="E7E6E6"/>
            <w:tcMar>
              <w:top w:w="15" w:type="dxa"/>
              <w:start w:w="45" w:type="dxa"/>
              <w:bottom w:w="15" w:type="dxa"/>
              <w:end w:w="45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/>
                <w:sz w:val="20"/>
              </w:rPr>
              <w:t>Modulul V: 5 mai – 18 iunie 2027 (7 săptămâni)</w:t>
            </w:r>
          </w:p>
        </w:tc>
      </w:tr>
      <w:tr>
        <w:trPr/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Provocări ale societății moderne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3.3; 4.1; 5.1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Muzica rock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Alcoolul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Fumatul și drogurile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Mass-media</w:t>
            </w:r>
            <w:r>
              <w:rPr>
                <w:rFonts w:ascii="Times New Roman" w:hAnsi="Times New Roman" w:eastAsia="Times New Roman"/>
                <w:sz w:val="20"/>
              </w:rPr>
              <w:br/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Evaluarea unității de învățare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5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S30–S34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(05.05–04.06)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  <w:tr>
        <w:trPr>
          <w:cantSplit/>
        </w:trPr>
        <w:tc>
          <w:tcPr>
            <w:tcW w:type="dxa" w:w="1701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Toate competențele</w:t>
            </w:r>
          </w:p>
        </w:tc>
        <w:tc>
          <w:tcPr>
            <w:tcW w:type="dxa" w:w="4082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Recapitulare / Evaluare finală</w:t>
            </w:r>
          </w:p>
        </w:tc>
        <w:tc>
          <w:tcPr>
            <w:tcW w:type="dxa" w:w="68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1360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sz w:val="20"/>
              </w:rPr>
              <w:t>S35–S36</w:t>
            </w:r>
          </w:p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(07.06–18.06)</w:t>
            </w:r>
          </w:p>
        </w:tc>
        <w:tc>
          <w:tcPr>
            <w:tcW w:type="dxa" w:w="1814"/>
            <w:vAlign w:val="center"/>
            <w:tcMar>
              <w:top w:w="15" w:type="dxa"/>
              <w:start w:w="45" w:type="dxa"/>
              <w:bottom w:w="15" w:type="dxa"/>
              <w:end w:w="45" w:type="dxa"/>
            </w:tcMar>
          </w:tcPr>
          <w:p>
            <w:pPr>
              <w:spacing w:before="0" w:after="0"/>
            </w:pPr>
            <w:r/>
            <w:r>
              <w:rPr>
                <w:rFonts w:ascii="Times New Roman" w:hAnsi="Times New Roman" w:eastAsia="Times New Roman"/>
                <w:sz w:val="20"/>
              </w:rPr>
              <w:t>TDP – 1 oră integrată: remediere/consolidare și reglarea învățării.</w:t>
            </w:r>
          </w:p>
        </w:tc>
      </w:tr>
    </w:tbl>
    <w:p>
      <w:pPr>
        <w:keepNext/>
        <w:pageBreakBefore w:val="0"/>
        <w:spacing w:before="80" w:after="20"/>
      </w:pPr>
      <w:r>
        <w:rPr>
          <w:rFonts w:ascii="Times New Roman" w:hAnsi="Times New Roman" w:eastAsia="Times New Roman"/>
          <w:b/>
          <w:sz w:val="22"/>
        </w:rPr>
        <w:t>COMPETENȚE GENERALE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1. Definirea specificului propriei credințe, în raport cu alte credințe și convingeri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2. Utilizarea adecvată a conceptelor specifice religiei, în diferite contexte de comunicare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3. Integrarea valorilor și a cunoștințelor religioase în structura propriilor atitudini și comportamente</w:t>
      </w:r>
    </w:p>
    <w:p>
      <w:pPr>
        <w:keepNext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4. Aplicarea învățăturii de credință în viața personală și a comunității</w:t>
      </w:r>
    </w:p>
    <w:p>
      <w:pPr>
        <w:keepNext w:val="0"/>
        <w:spacing w:before="0" w:after="0" w:line="240" w:lineRule="auto"/>
        <w:ind w:left="198" w:hanging="198"/>
      </w:pPr>
      <w:r>
        <w:rPr>
          <w:rFonts w:ascii="Times New Roman" w:hAnsi="Times New Roman" w:eastAsia="Times New Roman"/>
          <w:sz w:val="20"/>
        </w:rPr>
        <w:t>5. Corelarea cunoștințelor religioase cu cele dobândite la alte discipline de învățământ</w:t>
      </w:r>
    </w:p>
    <w:p>
      <w:pPr>
        <w:keepNext/>
        <w:spacing w:before="80" w:after="40"/>
      </w:pPr>
      <w:r>
        <w:rPr>
          <w:rFonts w:ascii="Times New Roman" w:hAnsi="Times New Roman" w:eastAsia="Times New Roman"/>
          <w:b/>
          <w:sz w:val="22"/>
        </w:rPr>
        <w:t>COMPETENȚE SPECIFICE – clasa a X-a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9355"/>
      </w:tblGrid>
      <w:tr>
        <w:trPr>
          <w:tblHeader w:val="true"/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Cod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Competența specifică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importanței și semnificației laudei lui Dumnezeu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1.2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mesajului spiritual al muzicii bisericești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Utilizarea adecvată a termenilor specifici religiei în argumentarea diferitelor aspecte din învățătura de credință și din morala creștină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2.2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semnificațiilor actuale ale unor termeni specifici religiei, în diferite contexte de comunicare (limbaj specializat, limbaj colocvial etc.)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Argumentarea nevoii de modele, pe baza analizei exemplelor biblice și a exemplelor din viața personală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Formularea unui punct de vedere propriu referitor la relația dintre libertate și autoritate în viața adolescenților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3.3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critică a diferitelor aspecte din viața adolescenților, din perspectiva valorilor creștine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Evaluarea critică a consecințelor unor aspecte specifice societății moderne asupra vieții personale și a comunității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4.2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consecințelor unor comportamente care încalcă morala creștină, asupra vieții personale, asupra familiei, asupra comunității etc.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5.1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Analizarea influențelor negative ale societății contemporane asupra tinerei generații din diferite perspective (viață religioasă, dezvoltare fizică și psihică, integrare socială)</w:t>
            </w:r>
          </w:p>
        </w:tc>
      </w:tr>
      <w:tr>
        <w:trPr>
          <w:cantSplit/>
        </w:trPr>
        <w:tc>
          <w:tcPr>
            <w:tcW w:type="dxa" w:w="1134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5.2</w:t>
            </w:r>
          </w:p>
        </w:tc>
        <w:tc>
          <w:tcPr>
            <w:tcW w:type="dxa" w:w="9355"/>
            <w:tcMar>
              <w:top w:w="5" w:type="dxa"/>
              <w:start w:w="40" w:type="dxa"/>
              <w:bottom w:w="5" w:type="dxa"/>
              <w:end w:w="40" w:type="dxa"/>
            </w:tcMar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Realizarea de comparații între muzica religioasă și muzica laică: tip de mesaj, forme, contexte de utilizare etc.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 w:eastAsia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20"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20"/>
      <w:szCs w:val="20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